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 и психология профессионального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и психология профессионального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«Педагогика и психология профессионального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и психология профессионального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профессиональной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требования  к профессиональной компетентности в сфере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пути и средства изучения и развития профессиональной компетентности в сфере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решать профессиональные  задачи  с  учетом различных  контекстов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проектировать  пути  своего профессионального развития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приемами анализа и  оценки  собственной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577.7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«Педагогика и психология профессионального образования» относится к обязательной части, является дисциплиной Блока Б1. «Дисциплины (модули)». Модуль "Современное высшее образование"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преподавателя вуза</w:t>
            </w:r>
          </w:p>
          <w:p>
            <w:pPr>
              <w:jc w:val="center"/>
              <w:spacing w:after="0" w:line="240" w:lineRule="auto"/>
              <w:rPr>
                <w:sz w:val="22"/>
                <w:szCs w:val="22"/>
              </w:rPr>
            </w:pPr>
            <w:r>
              <w:rPr>
                <w:rFonts w:ascii="Times New Roman" w:hAnsi="Times New Roman" w:cs="Times New Roman"/>
                <w:color w:val="#000000"/>
                <w:sz w:val="22"/>
                <w:szCs w:val="22"/>
              </w:rPr>
              <w:t> Педагогические технологии в профессиональном образовании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курсовые работы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 педагогики и психологии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методология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Педагогика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Психология профессионального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становление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Профессионально-педагогические деформации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методология психолого-педагогического исследования</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методе и методологии психолого-</w:t>
            </w:r>
          </w:p>
          <w:p>
            <w:pPr>
              <w:jc w:val="both"/>
              <w:spacing w:after="0" w:line="240" w:lineRule="auto"/>
              <w:rPr>
                <w:sz w:val="24"/>
                <w:szCs w:val="24"/>
              </w:rPr>
            </w:pPr>
            <w:r>
              <w:rPr>
                <w:rFonts w:ascii="Times New Roman" w:hAnsi="Times New Roman" w:cs="Times New Roman"/>
                <w:color w:val="#000000"/>
                <w:sz w:val="24"/>
                <w:szCs w:val="24"/>
              </w:rPr>
              <w:t>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Основные вопросы:</w:t>
            </w:r>
          </w:p>
          <w:p>
            <w:pPr>
              <w:jc w:val="both"/>
              <w:spacing w:after="0" w:line="240" w:lineRule="auto"/>
              <w:rPr>
                <w:sz w:val="24"/>
                <w:szCs w:val="24"/>
              </w:rPr>
            </w:pPr>
            <w:r>
              <w:rPr>
                <w:rFonts w:ascii="Times New Roman" w:hAnsi="Times New Roman" w:cs="Times New Roman"/>
                <w:color w:val="#000000"/>
                <w:sz w:val="24"/>
                <w:szCs w:val="24"/>
              </w:rPr>
              <w:t> 1 Понятие метод психолого-педагогического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2 Методология исследования: структура, содержание.</w:t>
            </w:r>
          </w:p>
          <w:p>
            <w:pPr>
              <w:jc w:val="both"/>
              <w:spacing w:after="0" w:line="240" w:lineRule="auto"/>
              <w:rPr>
                <w:sz w:val="24"/>
                <w:szCs w:val="24"/>
              </w:rPr>
            </w:pPr>
            <w:r>
              <w:rPr>
                <w:rFonts w:ascii="Times New Roman" w:hAnsi="Times New Roman" w:cs="Times New Roman"/>
                <w:color w:val="#000000"/>
                <w:sz w:val="24"/>
                <w:szCs w:val="24"/>
              </w:rPr>
              <w:t> 3 Основные требования к формированию методологии.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становление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профессионального становления личности.</w:t>
            </w:r>
          </w:p>
          <w:p>
            <w:pPr>
              <w:jc w:val="both"/>
              <w:spacing w:after="0" w:line="240" w:lineRule="auto"/>
              <w:rPr>
                <w:sz w:val="24"/>
                <w:szCs w:val="24"/>
              </w:rPr>
            </w:pPr>
            <w:r>
              <w:rPr>
                <w:rFonts w:ascii="Times New Roman" w:hAnsi="Times New Roman" w:cs="Times New Roman"/>
                <w:color w:val="#000000"/>
                <w:sz w:val="24"/>
                <w:szCs w:val="24"/>
              </w:rPr>
              <w:t> 2. Особенности профессионального становления на различных этапах:</w:t>
            </w:r>
          </w:p>
          <w:p>
            <w:pPr>
              <w:jc w:val="both"/>
              <w:spacing w:after="0" w:line="240" w:lineRule="auto"/>
              <w:rPr>
                <w:sz w:val="24"/>
                <w:szCs w:val="24"/>
              </w:rPr>
            </w:pPr>
            <w:r>
              <w:rPr>
                <w:rFonts w:ascii="Times New Roman" w:hAnsi="Times New Roman" w:cs="Times New Roman"/>
                <w:color w:val="#000000"/>
                <w:sz w:val="24"/>
                <w:szCs w:val="24"/>
              </w:rPr>
              <w:t> допрофессиональный, вхождение в профессионализацию, предпрофессиональный этапы.</w:t>
            </w:r>
          </w:p>
          <w:p>
            <w:pPr>
              <w:jc w:val="both"/>
              <w:spacing w:after="0" w:line="240" w:lineRule="auto"/>
              <w:rPr>
                <w:sz w:val="24"/>
                <w:szCs w:val="24"/>
              </w:rPr>
            </w:pPr>
            <w:r>
              <w:rPr>
                <w:rFonts w:ascii="Times New Roman" w:hAnsi="Times New Roman" w:cs="Times New Roman"/>
                <w:color w:val="#000000"/>
                <w:sz w:val="24"/>
                <w:szCs w:val="24"/>
              </w:rPr>
              <w:t> 3 Профессиональные значимые личностные качества и</w:t>
            </w:r>
          </w:p>
          <w:p>
            <w:pPr>
              <w:jc w:val="both"/>
              <w:spacing w:after="0" w:line="240" w:lineRule="auto"/>
              <w:rPr>
                <w:sz w:val="24"/>
                <w:szCs w:val="24"/>
              </w:rPr>
            </w:pPr>
            <w:r>
              <w:rPr>
                <w:rFonts w:ascii="Times New Roman" w:hAnsi="Times New Roman" w:cs="Times New Roman"/>
                <w:color w:val="#000000"/>
                <w:sz w:val="24"/>
                <w:szCs w:val="24"/>
              </w:rPr>
              <w:t> особенности их формирования.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профессионального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Ведущие технологии профессионального образования.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Профессионально-педагогические деформации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Деформации личности как понятие.</w:t>
            </w:r>
          </w:p>
          <w:p>
            <w:pPr>
              <w:jc w:val="left"/>
              <w:spacing w:after="0" w:line="240" w:lineRule="auto"/>
              <w:rPr>
                <w:sz w:val="24"/>
                <w:szCs w:val="24"/>
              </w:rPr>
            </w:pPr>
            <w:r>
              <w:rPr>
                <w:rFonts w:ascii="Times New Roman" w:hAnsi="Times New Roman" w:cs="Times New Roman"/>
                <w:color w:val="#000000"/>
                <w:sz w:val="24"/>
                <w:szCs w:val="24"/>
              </w:rPr>
              <w:t> 2.Почему возникают профессионально-педагогические деформации. Как их преодолевать.</w:t>
            </w:r>
          </w:p>
          <w:p>
            <w:pPr>
              <w:jc w:val="left"/>
              <w:spacing w:after="0" w:line="240" w:lineRule="auto"/>
              <w:rPr>
                <w:sz w:val="24"/>
                <w:szCs w:val="24"/>
              </w:rPr>
            </w:pPr>
            <w:r>
              <w:rPr>
                <w:rFonts w:ascii="Times New Roman" w:hAnsi="Times New Roman" w:cs="Times New Roman"/>
                <w:color w:val="#000000"/>
                <w:sz w:val="24"/>
                <w:szCs w:val="24"/>
              </w:rPr>
              <w:t> 3.Что нужно знать педагогу и руководителю учебного заведения</w:t>
            </w:r>
          </w:p>
          <w:p>
            <w:pPr>
              <w:jc w:val="left"/>
              <w:spacing w:after="0" w:line="240" w:lineRule="auto"/>
              <w:rPr>
                <w:sz w:val="24"/>
                <w:szCs w:val="24"/>
              </w:rPr>
            </w:pPr>
            <w:r>
              <w:rPr>
                <w:rFonts w:ascii="Times New Roman" w:hAnsi="Times New Roman" w:cs="Times New Roman"/>
                <w:color w:val="#000000"/>
                <w:sz w:val="24"/>
                <w:szCs w:val="24"/>
              </w:rPr>
              <w:t> Для формирования готовности к данному явлению.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и психология профессионального образования»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постолимпийском</w:t>
            </w:r>
            <w:r>
              <w:rPr/>
              <w:t xml:space="preserve"> </w:t>
            </w:r>
            <w:r>
              <w:rPr>
                <w:rFonts w:ascii="Times New Roman" w:hAnsi="Times New Roman" w:cs="Times New Roman"/>
                <w:color w:val="#000000"/>
                <w:sz w:val="24"/>
                <w:szCs w:val="24"/>
              </w:rPr>
              <w:t>развитии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Сочи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Ветитнев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Вербин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Шестак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Астанина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Чмыхова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гуманитарная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978-5-8323-0542-4.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http://www.iprbookshop.ru/16951.html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Непрерывное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специалистов</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сферы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странах</w:t>
            </w:r>
            <w:r>
              <w:rPr/>
              <w:t xml:space="preserve"> </w:t>
            </w:r>
            <w:r>
              <w:rPr>
                <w:rFonts w:ascii="Times New Roman" w:hAnsi="Times New Roman" w:cs="Times New Roman"/>
                <w:color w:val="#000000"/>
                <w:sz w:val="24"/>
                <w:szCs w:val="24"/>
              </w:rPr>
              <w:t>Западной</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Сопоставительный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978-5-9907452-9-2.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http://www.iprbookshop.ru/58126.html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02.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2023-2024_ФГОС3++2023_Маг-ЗФО-ПО(Иннов)(23)_plx_Педагогика и психология профессионального образования</dc:title>
  <dc:creator>FastReport.NET</dc:creator>
</cp:coreProperties>
</file>